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1D37CF" w:rsidP="00D94728">
      <w:pPr>
        <w:ind w:left="720" w:right="720"/>
        <w:jc w:val="center"/>
        <w:rPr>
          <w:b/>
          <w:sz w:val="24"/>
          <w:szCs w:val="24"/>
        </w:rPr>
      </w:pPr>
      <w:r>
        <w:rPr>
          <w:b/>
          <w:sz w:val="24"/>
          <w:szCs w:val="24"/>
        </w:rPr>
        <w:t xml:space="preserve">October 22, </w:t>
      </w:r>
      <w:r w:rsidR="00160102">
        <w:rPr>
          <w:b/>
          <w:sz w:val="24"/>
          <w:szCs w:val="24"/>
        </w:rPr>
        <w:t>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w:t>
      </w:r>
      <w:r w:rsidR="007947F0">
        <w:rPr>
          <w:sz w:val="24"/>
          <w:szCs w:val="24"/>
        </w:rPr>
        <w:t>9:05am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7C4B90">
        <w:rPr>
          <w:sz w:val="24"/>
          <w:szCs w:val="24"/>
        </w:rPr>
        <w:t xml:space="preserve">George Sewell, </w:t>
      </w:r>
      <w:r w:rsidR="008F4202">
        <w:rPr>
          <w:sz w:val="24"/>
          <w:szCs w:val="24"/>
        </w:rPr>
        <w:t xml:space="preserve">David Hoey, </w:t>
      </w:r>
      <w:r w:rsidR="004F6C10">
        <w:rPr>
          <w:sz w:val="24"/>
          <w:szCs w:val="24"/>
        </w:rPr>
        <w:t xml:space="preserve">Don Pledger,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59383F">
        <w:rPr>
          <w:sz w:val="24"/>
          <w:szCs w:val="24"/>
        </w:rPr>
        <w:t xml:space="preserve">  </w:t>
      </w:r>
      <w:r w:rsidR="007947F0">
        <w:rPr>
          <w:sz w:val="24"/>
          <w:szCs w:val="24"/>
        </w:rPr>
        <w:t xml:space="preserve">Bridgette Salsberry, Tray Murray, Mary Brocato and </w:t>
      </w:r>
      <w:r w:rsidR="007C4B90">
        <w:rPr>
          <w:sz w:val="24"/>
          <w:szCs w:val="24"/>
        </w:rPr>
        <w:t>Carolyn Carter w</w:t>
      </w:r>
      <w:r w:rsidR="007947F0">
        <w:rPr>
          <w:sz w:val="24"/>
          <w:szCs w:val="24"/>
        </w:rPr>
        <w:t>ere</w:t>
      </w:r>
      <w:r w:rsidR="007C4B90">
        <w:rPr>
          <w:sz w:val="24"/>
          <w:szCs w:val="24"/>
        </w:rPr>
        <w:t xml:space="preserve"> excused.  </w:t>
      </w:r>
      <w:r w:rsidRPr="0059304A">
        <w:rPr>
          <w:sz w:val="24"/>
          <w:szCs w:val="24"/>
        </w:rPr>
        <w:t>Bienville</w:t>
      </w:r>
      <w:r w:rsidR="002D74F3">
        <w:rPr>
          <w:sz w:val="24"/>
          <w:szCs w:val="24"/>
        </w:rPr>
        <w:t>, Natchitoches</w:t>
      </w:r>
      <w:r w:rsidR="004F6C10">
        <w:rPr>
          <w:sz w:val="24"/>
          <w:szCs w:val="24"/>
        </w:rPr>
        <w:t xml:space="preserve"> and </w:t>
      </w:r>
      <w:r w:rsidRPr="0059304A">
        <w:rPr>
          <w:sz w:val="24"/>
          <w:szCs w:val="24"/>
        </w:rPr>
        <w:t>Governor Appointee</w:t>
      </w:r>
      <w:r w:rsidR="00D94728" w:rsidRPr="0059304A">
        <w:rPr>
          <w:sz w:val="24"/>
          <w:szCs w:val="24"/>
        </w:rPr>
        <w:t xml:space="preserve"> #</w:t>
      </w:r>
      <w:r w:rsidR="002D74F3">
        <w:rPr>
          <w:sz w:val="24"/>
          <w:szCs w:val="24"/>
        </w:rPr>
        <w:t>2</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7947F0">
        <w:rPr>
          <w:sz w:val="24"/>
          <w:szCs w:val="24"/>
        </w:rPr>
        <w:t>5</w:t>
      </w:r>
      <w:r w:rsidR="00301B67" w:rsidRPr="0059304A">
        <w:rPr>
          <w:sz w:val="24"/>
          <w:szCs w:val="24"/>
        </w:rPr>
        <w:t xml:space="preserve"> out of </w:t>
      </w:r>
      <w:r w:rsidR="002D74F3">
        <w:rPr>
          <w:sz w:val="24"/>
          <w:szCs w:val="24"/>
        </w:rPr>
        <w:t>9</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7947F0">
        <w:rPr>
          <w:sz w:val="24"/>
          <w:szCs w:val="24"/>
        </w:rPr>
        <w:t>George Sewell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7947F0">
        <w:rPr>
          <w:sz w:val="24"/>
          <w:szCs w:val="24"/>
        </w:rPr>
        <w:t>David Hoey</w:t>
      </w:r>
      <w:r w:rsidR="002D74F3">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7947F0">
        <w:rPr>
          <w:sz w:val="24"/>
          <w:szCs w:val="24"/>
          <w:u w:val="single"/>
        </w:rPr>
        <w:t>September 19</w:t>
      </w:r>
      <w:r w:rsidR="007C4B90">
        <w:rPr>
          <w:sz w:val="24"/>
          <w:szCs w:val="24"/>
          <w:u w:val="single"/>
        </w:rPr>
        <w:t>, 2022</w:t>
      </w:r>
      <w:r w:rsidR="00D94728" w:rsidRPr="0059304A">
        <w:rPr>
          <w:sz w:val="24"/>
          <w:szCs w:val="24"/>
        </w:rPr>
        <w:t>: Moved b</w:t>
      </w:r>
      <w:r w:rsidR="00B91615" w:rsidRPr="0059304A">
        <w:rPr>
          <w:sz w:val="24"/>
          <w:szCs w:val="24"/>
        </w:rPr>
        <w:t>y</w:t>
      </w:r>
      <w:r w:rsidR="00C3662A" w:rsidRPr="0059304A">
        <w:rPr>
          <w:sz w:val="24"/>
          <w:szCs w:val="24"/>
        </w:rPr>
        <w:t xml:space="preserve"> </w:t>
      </w:r>
      <w:r w:rsidR="007947F0">
        <w:rPr>
          <w:sz w:val="24"/>
          <w:szCs w:val="24"/>
        </w:rPr>
        <w:t>Don Pledger</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947F0">
        <w:rPr>
          <w:sz w:val="24"/>
          <w:szCs w:val="24"/>
        </w:rPr>
        <w:t>David Hoey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947F0">
        <w:rPr>
          <w:sz w:val="24"/>
          <w:szCs w:val="24"/>
        </w:rPr>
        <w:t>Susan Mogensen with Brown Dog Consulting was welcomed.</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7C4B90">
        <w:rPr>
          <w:sz w:val="24"/>
          <w:szCs w:val="24"/>
        </w:rPr>
        <w:t xml:space="preserve">, </w:t>
      </w:r>
      <w:r w:rsidR="007947F0">
        <w:rPr>
          <w:sz w:val="24"/>
          <w:szCs w:val="24"/>
        </w:rPr>
        <w:t xml:space="preserve">and Treatment of Staff.  </w:t>
      </w:r>
      <w:r w:rsidR="007C4B90">
        <w:rPr>
          <w:sz w:val="24"/>
          <w:szCs w:val="24"/>
        </w:rPr>
        <w:t xml:space="preserve">Of note was the </w:t>
      </w:r>
      <w:r w:rsidR="007947F0">
        <w:rPr>
          <w:sz w:val="24"/>
          <w:szCs w:val="24"/>
        </w:rPr>
        <w:t>FY24 Operational Plan being presented and the treatment of staff summary showed no staff grievances being filed over the past year.  A brief discussion was held regarding the status of 988 and crisis services after which Matthew Linn requested Doug Efferson find out the current volume of services being provided by Merakey and the status of 911 calls being transferred to 988 by the Shreveport Police Department.</w:t>
      </w:r>
      <w:r w:rsidR="00E54E08">
        <w:rPr>
          <w:sz w:val="24"/>
          <w:szCs w:val="24"/>
        </w:rPr>
        <w:t xml:space="preserve">  </w:t>
      </w:r>
      <w:r w:rsidR="00FA50B9">
        <w:rPr>
          <w:sz w:val="24"/>
          <w:szCs w:val="24"/>
        </w:rPr>
        <w:t>George Sewell m</w:t>
      </w:r>
      <w:r w:rsidR="00AD321B">
        <w:rPr>
          <w:sz w:val="24"/>
          <w:szCs w:val="24"/>
        </w:rPr>
        <w:t xml:space="preserve">oved </w:t>
      </w:r>
      <w:r w:rsidR="00AD321B" w:rsidRPr="00EC7AB9">
        <w:rPr>
          <w:sz w:val="24"/>
          <w:szCs w:val="24"/>
        </w:rPr>
        <w:t xml:space="preserve">to accept the report, seconded by </w:t>
      </w:r>
      <w:r w:rsidR="0057284E">
        <w:rPr>
          <w:sz w:val="24"/>
          <w:szCs w:val="24"/>
        </w:rPr>
        <w:t>Don Pledger</w:t>
      </w:r>
      <w:r w:rsidR="00FA50B9">
        <w:rPr>
          <w:sz w:val="24"/>
          <w:szCs w:val="24"/>
        </w:rPr>
        <w:t>,</w:t>
      </w:r>
      <w:r w:rsidR="00AD321B">
        <w:rPr>
          <w:sz w:val="24"/>
          <w:szCs w:val="24"/>
        </w:rPr>
        <w:t xml:space="preserve"> and </w:t>
      </w:r>
      <w:r w:rsidR="00AD321B"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DE5279">
        <w:rPr>
          <w:sz w:val="24"/>
          <w:szCs w:val="24"/>
        </w:rPr>
        <w:t>Matthew Linn led</w:t>
      </w:r>
      <w:r w:rsidR="00DE5279" w:rsidRPr="00DE5279">
        <w:rPr>
          <w:sz w:val="24"/>
          <w:szCs w:val="24"/>
        </w:rPr>
        <w:t xml:space="preserve"> a review of the </w:t>
      </w:r>
      <w:r w:rsidR="0057284E">
        <w:rPr>
          <w:sz w:val="24"/>
          <w:szCs w:val="24"/>
        </w:rPr>
        <w:t xml:space="preserve">Global Linkage and Unity of Control </w:t>
      </w:r>
      <w:r w:rsidR="00DE5279">
        <w:rPr>
          <w:sz w:val="24"/>
          <w:szCs w:val="24"/>
        </w:rPr>
        <w:t xml:space="preserve">policies. </w:t>
      </w:r>
      <w:r w:rsidR="00FC64B2">
        <w:rPr>
          <w:sz w:val="24"/>
          <w:szCs w:val="24"/>
        </w:rPr>
        <w:t xml:space="preserve"> George Sewell </w:t>
      </w:r>
      <w:r w:rsidR="00FC64B2" w:rsidRPr="00FC64B2">
        <w:rPr>
          <w:sz w:val="24"/>
          <w:szCs w:val="24"/>
        </w:rPr>
        <w:t>moti</w:t>
      </w:r>
      <w:bookmarkStart w:id="0" w:name="_GoBack"/>
      <w:bookmarkEnd w:id="0"/>
      <w:r w:rsidR="00FC64B2" w:rsidRPr="00FC64B2">
        <w:rPr>
          <w:sz w:val="24"/>
          <w:szCs w:val="24"/>
        </w:rPr>
        <w:t xml:space="preserve">oned to accept </w:t>
      </w:r>
      <w:r w:rsidR="00FC64B2">
        <w:rPr>
          <w:sz w:val="24"/>
          <w:szCs w:val="24"/>
        </w:rPr>
        <w:t xml:space="preserve">the </w:t>
      </w:r>
      <w:r w:rsidR="00FC64B2" w:rsidRPr="00FC64B2">
        <w:rPr>
          <w:sz w:val="24"/>
          <w:szCs w:val="24"/>
        </w:rPr>
        <w:t xml:space="preserve">policies without changes, seconded by </w:t>
      </w:r>
      <w:r w:rsidR="00FC64B2">
        <w:rPr>
          <w:sz w:val="24"/>
          <w:szCs w:val="24"/>
        </w:rPr>
        <w:t>Don Pledger</w:t>
      </w:r>
      <w:r w:rsidR="00FC64B2" w:rsidRPr="00FC64B2">
        <w:rPr>
          <w:sz w:val="24"/>
          <w:szCs w:val="24"/>
        </w:rPr>
        <w:t>, and unanimously approved.</w:t>
      </w:r>
      <w:r w:rsidR="00DE5279">
        <w:rPr>
          <w:sz w:val="24"/>
          <w:szCs w:val="24"/>
        </w:rPr>
        <w:t xml:space="preserve"> </w:t>
      </w:r>
      <w:r w:rsidR="0057284E">
        <w:rPr>
          <w:sz w:val="24"/>
          <w:szCs w:val="24"/>
        </w:rPr>
        <w:t xml:space="preserve"> </w:t>
      </w:r>
      <w:r w:rsidR="00FF3FC5">
        <w:rPr>
          <w:sz w:val="24"/>
          <w:szCs w:val="24"/>
        </w:rPr>
        <w:t>The</w:t>
      </w:r>
      <w:r w:rsidR="00970EB6">
        <w:rPr>
          <w:sz w:val="24"/>
          <w:szCs w:val="24"/>
        </w:rPr>
        <w:t xml:space="preserve"> </w:t>
      </w:r>
      <w:r w:rsidR="0057284E">
        <w:rPr>
          <w:sz w:val="24"/>
          <w:szCs w:val="24"/>
        </w:rPr>
        <w:t>September</w:t>
      </w:r>
      <w:r w:rsidR="00FD6281">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 xml:space="preserve">ing </w:t>
      </w:r>
      <w:r w:rsidRPr="0059304A">
        <w:rPr>
          <w:sz w:val="24"/>
          <w:szCs w:val="24"/>
        </w:rPr>
        <w:lastRenderedPageBreak/>
        <w:t>Summary Report was reviewed and accepted.  The</w:t>
      </w:r>
      <w:r w:rsidR="00014B20">
        <w:rPr>
          <w:sz w:val="24"/>
          <w:szCs w:val="24"/>
        </w:rPr>
        <w:t xml:space="preserve"> </w:t>
      </w:r>
      <w:r w:rsidR="0057284E">
        <w:rPr>
          <w:sz w:val="24"/>
          <w:szCs w:val="24"/>
        </w:rPr>
        <w:t>October</w:t>
      </w:r>
      <w:r w:rsidR="00FC64B2">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 was</w:t>
      </w:r>
      <w:r w:rsidR="00A7220B">
        <w:rPr>
          <w:sz w:val="24"/>
          <w:szCs w:val="24"/>
        </w:rPr>
        <w:t xml:space="preserve"> </w:t>
      </w:r>
      <w:r w:rsidR="00A7220B" w:rsidRPr="00FF3FC5">
        <w:rPr>
          <w:sz w:val="24"/>
          <w:szCs w:val="24"/>
        </w:rPr>
        <w:t xml:space="preserve">agreed to be on Monday, </w:t>
      </w:r>
      <w:r w:rsidR="00A7220B">
        <w:rPr>
          <w:sz w:val="24"/>
          <w:szCs w:val="24"/>
        </w:rPr>
        <w:t>November 21, 2022</w:t>
      </w:r>
      <w:r w:rsidR="00A7220B">
        <w:rPr>
          <w:sz w:val="24"/>
          <w:szCs w:val="24"/>
        </w:rPr>
        <w:t xml:space="preserve"> </w:t>
      </w:r>
      <w:r w:rsidR="00A7220B" w:rsidRPr="00FF3FC5">
        <w:rPr>
          <w:sz w:val="24"/>
          <w:szCs w:val="24"/>
        </w:rPr>
        <w:t>at 5:30pm</w:t>
      </w:r>
      <w:r w:rsidR="00A7220B">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A7220B">
        <w:rPr>
          <w:sz w:val="24"/>
          <w:szCs w:val="24"/>
        </w:rPr>
        <w:t>Matthew Linn announced the Board’s Policy Governance 101 training would begin immediately following the Board meeting with expectations that it would be complete by 3pm.</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A7220B">
        <w:rPr>
          <w:sz w:val="24"/>
          <w:szCs w:val="24"/>
        </w:rPr>
        <w:t>David Hoey</w:t>
      </w:r>
      <w:r w:rsidR="00FC64B2">
        <w:rPr>
          <w:sz w:val="24"/>
          <w:szCs w:val="24"/>
        </w:rPr>
        <w:t xml:space="preserve">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A7220B">
        <w:rPr>
          <w:sz w:val="24"/>
          <w:szCs w:val="24"/>
        </w:rPr>
        <w:t>9:37a</w:t>
      </w:r>
      <w:r w:rsidR="00BE0475">
        <w:rPr>
          <w:sz w:val="24"/>
          <w:szCs w:val="24"/>
        </w:rPr>
        <w:t>m,</w:t>
      </w:r>
      <w:r w:rsidR="005873BF" w:rsidRPr="0059304A">
        <w:rPr>
          <w:sz w:val="24"/>
          <w:szCs w:val="24"/>
        </w:rPr>
        <w:t xml:space="preserve"> </w:t>
      </w:r>
      <w:r w:rsidR="00E66819" w:rsidRPr="0059304A">
        <w:rPr>
          <w:sz w:val="24"/>
          <w:szCs w:val="24"/>
        </w:rPr>
        <w:t xml:space="preserve">seconded by </w:t>
      </w:r>
      <w:r w:rsidR="00FC64B2">
        <w:rPr>
          <w:sz w:val="24"/>
          <w:szCs w:val="24"/>
        </w:rPr>
        <w:t>Kristie Copeland</w:t>
      </w:r>
      <w:r w:rsidR="00FD6281">
        <w:rPr>
          <w:sz w:val="24"/>
          <w:szCs w:val="24"/>
        </w:rPr>
        <w:t xml:space="preserve">,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4F6C10"/>
    <w:rsid w:val="00506E3A"/>
    <w:rsid w:val="00526C3C"/>
    <w:rsid w:val="0053113B"/>
    <w:rsid w:val="00532041"/>
    <w:rsid w:val="00542CC5"/>
    <w:rsid w:val="00571B54"/>
    <w:rsid w:val="0057284E"/>
    <w:rsid w:val="00573D16"/>
    <w:rsid w:val="00574A54"/>
    <w:rsid w:val="00580C4C"/>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10185"/>
    <w:rsid w:val="0081323E"/>
    <w:rsid w:val="008273B7"/>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016D0"/>
    <w:rsid w:val="00A03954"/>
    <w:rsid w:val="00A11F61"/>
    <w:rsid w:val="00A27887"/>
    <w:rsid w:val="00A3281E"/>
    <w:rsid w:val="00A329AE"/>
    <w:rsid w:val="00A40056"/>
    <w:rsid w:val="00A416C8"/>
    <w:rsid w:val="00A42212"/>
    <w:rsid w:val="00A4619D"/>
    <w:rsid w:val="00A47771"/>
    <w:rsid w:val="00A52016"/>
    <w:rsid w:val="00A65E62"/>
    <w:rsid w:val="00A715ED"/>
    <w:rsid w:val="00A7220B"/>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A34F4"/>
    <w:rsid w:val="00DB4CC3"/>
    <w:rsid w:val="00DB5969"/>
    <w:rsid w:val="00DC0E26"/>
    <w:rsid w:val="00DC29F2"/>
    <w:rsid w:val="00DD1465"/>
    <w:rsid w:val="00DD34D1"/>
    <w:rsid w:val="00DE27B3"/>
    <w:rsid w:val="00DE5279"/>
    <w:rsid w:val="00DF4C68"/>
    <w:rsid w:val="00E01EA8"/>
    <w:rsid w:val="00E054AE"/>
    <w:rsid w:val="00E10D7F"/>
    <w:rsid w:val="00E2602E"/>
    <w:rsid w:val="00E31CB4"/>
    <w:rsid w:val="00E32B2D"/>
    <w:rsid w:val="00E41DB2"/>
    <w:rsid w:val="00E524FE"/>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3A2AF04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2022-04-19T16:50:00Z</cp:lastPrinted>
  <dcterms:created xsi:type="dcterms:W3CDTF">2022-11-01T14:16:00Z</dcterms:created>
  <dcterms:modified xsi:type="dcterms:W3CDTF">2022-11-01T14:34:00Z</dcterms:modified>
</cp:coreProperties>
</file>